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25.png" ContentType="image/png"/>
  <Override PartName="/word/media/rId28.png" ContentType="image/png"/>
  <Override PartName="/word/media/rId32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2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3.png" ContentType="image/png"/>
  <Override PartName="/word/media/rId117.png" ContentType="image/png"/>
  <Override PartName="/word/media/rId20.png" ContentType="image/png"/>
  <Override PartName="/word/media/image2.gif" ContentType="image/gif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"/>
      </w:pPr>
      <w:r>
        <w:t xml:space="preserve">Nota</w:t>
      </w:r>
      <w:r>
        <w:t xml:space="preserve"> </w:t>
      </w:r>
      <w:r>
        <w:t xml:space="preserve">técnica</w:t>
      </w:r>
      <w:r>
        <w:t xml:space="preserve"> </w:t>
      </w:r>
      <w:r>
        <w:t xml:space="preserve">-</w:t>
      </w:r>
      <w:r>
        <w:t xml:space="preserve"> </w:t>
      </w:r>
      <w:r>
        <w:t xml:space="preserve">dinâmica</w:t>
      </w:r>
      <w:r>
        <w:t xml:space="preserve"> </w:t>
      </w:r>
      <w:r>
        <w:t xml:space="preserve">imobiliária</w:t>
      </w:r>
      <w:r>
        <w:t xml:space="preserve"> </w:t>
      </w:r>
      <w:r>
        <w:t xml:space="preserve">na</w:t>
      </w:r>
      <w:r>
        <w:t xml:space="preserve"> </w:t>
      </w:r>
      <w:r>
        <w:t xml:space="preserve">MEM</w:t>
      </w:r>
      <w:r>
        <w:t xml:space="preserve"> </w:t>
      </w:r>
      <w:r>
        <w:t xml:space="preserve">pós-PDE</w:t>
      </w:r>
    </w:p>
    <w:p>
      <w:pPr>
        <w:pStyle w:val="Author"/>
      </w:pPr>
      <w:r>
        <w:t xml:space="preserve">Por</w:t>
      </w:r>
      <w:r>
        <w:t xml:space="preserve"> </w:t>
      </w:r>
      <w:r>
        <w:t xml:space="preserve">Evandro</w:t>
      </w:r>
      <w:r>
        <w:t xml:space="preserve"> </w:t>
      </w:r>
      <w:r>
        <w:t xml:space="preserve">Luis</w:t>
      </w:r>
      <w:r>
        <w:t xml:space="preserve"> </w:t>
      </w:r>
      <w:r>
        <w:t xml:space="preserve">e</w:t>
      </w:r>
      <w:r>
        <w:t xml:space="preserve"> </w:t>
      </w:r>
      <w:r>
        <w:t xml:space="preserve">Joyce</w:t>
      </w:r>
      <w:r>
        <w:t xml:space="preserve"> </w:t>
      </w:r>
      <w:r>
        <w:t xml:space="preserve">Reis</w:t>
      </w:r>
    </w:p>
    <w:p>
      <w:pPr>
        <w:pStyle w:val="Date"/>
      </w:pPr>
      <w:r>
        <w:t xml:space="preserve">Em</w:t>
      </w:r>
      <w:r>
        <w:t xml:space="preserve"> </w:t>
      </w:r>
      <w:r>
        <w:t xml:space="preserve">27</w:t>
      </w:r>
      <w:r>
        <w:t xml:space="preserve"> </w:t>
      </w:r>
      <w:r>
        <w:t xml:space="preserve">de</w:t>
      </w:r>
      <w:r>
        <w:t xml:space="preserve"> </w:t>
      </w:r>
      <w:r>
        <w:t xml:space="preserve">abril</w:t>
      </w:r>
      <w:r>
        <w:t xml:space="preserve"> </w:t>
      </w:r>
      <w:r>
        <w:t xml:space="preserve">de</w:t>
      </w:r>
      <w:r>
        <w:t xml:space="preserve"> </w:t>
      </w:r>
      <w:r>
        <w:t xml:space="preserve">2024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122" w:name="análise-da-dinâmica-imobiliária"/>
    <w:p>
      <w:pPr>
        <w:pStyle w:val="Ttulo1"/>
      </w:pPr>
      <w:r>
        <w:rPr>
          <w:rStyle w:val="SectionNumber"/>
        </w:rPr>
        <w:t xml:space="preserve">1</w:t>
      </w:r>
      <w:r>
        <w:tab/>
      </w:r>
      <w:r>
        <w:t xml:space="preserve">Análise da dinâmica imobiliária</w:t>
      </w:r>
    </w:p>
    <w:bookmarkStart w:id="24" w:name="X2905747b0a33b89cc6789d817f3f71f01efcc12"/>
    <w:p>
      <w:pPr>
        <w:pStyle w:val="Ttulo2"/>
      </w:pPr>
      <w:r>
        <w:rPr>
          <w:rStyle w:val="SectionNumber"/>
        </w:rPr>
        <w:t xml:space="preserve">1.1</w:t>
      </w:r>
      <w:r>
        <w:tab/>
      </w:r>
      <w:r>
        <w:t xml:space="preserve">Comparação entre as Macroáreas e a variação no município</w:t>
      </w:r>
    </w:p>
    <w:bookmarkStart w:id="23" w:name="Xbb9babfa06eb11472074db188ddd0ee2e9e7511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Evolução do número de empreendimentos, unidades residenciais, área construída e área de terreno licenciados por macroáreas urbanas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9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End w:id="24"/>
    <w:bookmarkStart w:id="36" w:name="características-tipológicas"/>
    <w:p>
      <w:pPr>
        <w:pStyle w:val="Ttulo2"/>
      </w:pPr>
      <w:r>
        <w:rPr>
          <w:rStyle w:val="SectionNumber"/>
        </w:rPr>
        <w:t xml:space="preserve">1.2</w:t>
      </w:r>
      <w:r>
        <w:tab/>
      </w:r>
      <w:r>
        <w:t xml:space="preserve">Características tipológicas</w:t>
      </w:r>
    </w:p>
    <w:bookmarkStart w:id="31" w:name="Xa9c1bad25fc71c6d37125b3a336b65f58fc1b81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Percentual de empreendimentos na MEM segundo porte (quantidade de UH’s) e número médio de pavimentos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0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53100" cy="4314825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1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5" w:name="Xc5392c0ae379c0768e7fa2e6339f7d454afcaa7"/>
    <w:p>
      <w:pPr>
        <w:pStyle w:val="Heading3"/>
      </w:pPr>
      <w:r>
        <w:rPr>
          <w:rStyle w:val="SectionNumber"/>
        </w:rPr>
        <w:t xml:space="preserve">1.2.2</w:t>
      </w:r>
      <w:r>
        <w:tab/>
      </w:r>
      <w:r>
        <w:t xml:space="preserve">Evolução do número de unidades por empreendimento, da área construída por unidade, da cota parte e do número de pavimentos dos empreendimentos licenciados no perímetro da atual MEM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2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69" w:name="por-categoria-de-uso-erm-e-erp"/>
    <w:p>
      <w:pPr>
        <w:pStyle w:val="Ttulo2"/>
      </w:pPr>
      <w:r>
        <w:rPr>
          <w:rStyle w:val="SectionNumber"/>
        </w:rPr>
        <w:t xml:space="preserve">1.3</w:t>
      </w:r>
      <w:r>
        <w:tab/>
      </w:r>
      <w:r>
        <w:t xml:space="preserve">Por categoria de uso (ERM e ERP)</w:t>
      </w:r>
    </w:p>
    <w:bookmarkStart w:id="40" w:name="X1a35e75a4dd44dd62ef22f1ee1d4e3ef08af780"/>
    <w:p>
      <w:pPr>
        <w:pStyle w:val="Heading3"/>
      </w:pPr>
      <w:r>
        <w:rPr>
          <w:rStyle w:val="SectionNumber"/>
        </w:rPr>
        <w:t xml:space="preserve">1.3.1</w:t>
      </w:r>
      <w:r>
        <w:tab/>
      </w:r>
      <w:r>
        <w:t xml:space="preserve">Evolução do número de empreendimentos, unidades residenciais, área construída e área de terreno licenciados na MEM por categoria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3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Xcbdf8d70a94e0b135bc53e4951fc8c9e67e2775"/>
    <w:p>
      <w:pPr>
        <w:pStyle w:val="Heading3"/>
      </w:pPr>
      <w:r>
        <w:rPr>
          <w:rStyle w:val="SectionNumber"/>
        </w:rPr>
        <w:t xml:space="preserve">1.3.2</w:t>
      </w:r>
      <w:r>
        <w:tab/>
      </w:r>
      <w:r>
        <w:t xml:space="preserve">Distribuição da quantidade de UH’s do empreendimento e da área de terreno por categoria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4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Xe52c8a1397fb65c787eb10b53d05ff548716f0f"/>
    <w:p>
      <w:pPr>
        <w:pStyle w:val="Heading3"/>
      </w:pPr>
      <w:r>
        <w:rPr>
          <w:rStyle w:val="SectionNumber"/>
        </w:rPr>
        <w:t xml:space="preserve">1.3.3</w:t>
      </w:r>
      <w:r>
        <w:tab/>
      </w:r>
      <w:r>
        <w:t xml:space="preserve">Distribuição das cota-partes dos empreendimentos por categoria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5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X9869bc7e5257a2589de6ca00890c216e6bcf65e"/>
    <w:p>
      <w:pPr>
        <w:pStyle w:val="Heading3"/>
      </w:pPr>
      <w:r>
        <w:rPr>
          <w:rStyle w:val="SectionNumber"/>
        </w:rPr>
        <w:t xml:space="preserve">1.3.4</w:t>
      </w:r>
      <w:r>
        <w:tab/>
      </w:r>
      <w:r>
        <w:t xml:space="preserve">Mapa da distribuição espacial dos empreendimentos ERM por porte (antes e depois)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6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Xae076bcac87c0bedeb23447cd86e47d02edccaf"/>
    <w:p>
      <w:pPr>
        <w:pStyle w:val="Heading3"/>
      </w:pPr>
      <w:r>
        <w:rPr>
          <w:rStyle w:val="SectionNumber"/>
        </w:rPr>
        <w:t xml:space="preserve">1.3.5</w:t>
      </w:r>
      <w:r>
        <w:tab/>
      </w:r>
      <w:r>
        <w:t xml:space="preserve">Mapa da distribuição espacial dos empreendimentos ERP por porte (antes e depois)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7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X4d2f22f2b4e66c711f3dc18471515b21109138f"/>
    <w:p>
      <w:pPr>
        <w:pStyle w:val="Heading3"/>
      </w:pPr>
      <w:r>
        <w:rPr>
          <w:rStyle w:val="SectionNumber"/>
        </w:rPr>
        <w:t xml:space="preserve">1.3.6</w:t>
      </w:r>
      <w:r>
        <w:tab/>
      </w:r>
      <w:r>
        <w:t xml:space="preserve">Mapa da distribuição espacial dos empreendimentos ERM por cota-parte (antes e depois)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8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493a1a28cd3113c263c44b1dddacec04979ab8e"/>
    <w:p>
      <w:pPr>
        <w:pStyle w:val="Heading3"/>
      </w:pPr>
      <w:r>
        <w:rPr>
          <w:rStyle w:val="SectionNumber"/>
        </w:rPr>
        <w:t xml:space="preserve">1.3.7</w:t>
      </w:r>
      <w:r>
        <w:tab/>
      </w:r>
      <w:r>
        <w:t xml:space="preserve">Mapa da distribuição espacial dos empreendimentos ERP por cota-parte (antes e depois)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19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localização-de-erps-por-porte-2019-2021"/>
    <w:p>
      <w:pPr>
        <w:pStyle w:val="Heading3"/>
      </w:pPr>
      <w:r>
        <w:rPr>
          <w:rStyle w:val="SectionNumber"/>
        </w:rPr>
        <w:t xml:space="preserve">1.3.8</w:t>
      </w:r>
      <w:r>
        <w:tab/>
      </w:r>
      <w:r>
        <w:t xml:space="preserve">Localização de ERP’s por porte (2019-2021)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0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End w:id="69"/>
    <w:bookmarkStart w:id="90" w:name="por-zoneamento-atual"/>
    <w:p>
      <w:pPr>
        <w:pStyle w:val="Ttulo2"/>
      </w:pPr>
      <w:r>
        <w:rPr>
          <w:rStyle w:val="SectionNumber"/>
        </w:rPr>
        <w:t xml:space="preserve">1.4</w:t>
      </w:r>
      <w:r>
        <w:tab/>
      </w:r>
      <w:r>
        <w:t xml:space="preserve">Por zoneamento atual</w:t>
      </w:r>
    </w:p>
    <w:bookmarkStart w:id="73" w:name="X91f55494fcb7d36a990e7e061085634ccb8d74b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Percentual de empreendimentos na MEM por zoneamento - antes e depois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1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a3103905b7f71fabd391630cbdf62bbaaf9d05b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Distribuição dos licenciamentos por categoria e zona de uso a partir do zoneamento vigente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2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Xcb9a91b6a65b15b4599185a4f4844d308cd9c1b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Evolução do coeficiente de aproveitamento total dos empreendimentos licenciados no perímetro da MEM (2013-2021)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3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Xd21f484e504bc79dabc65f5fce1f66a9656d4b5"/>
    <w:p>
      <w:pPr>
        <w:pStyle w:val="Heading3"/>
      </w:pPr>
      <w:r>
        <w:rPr>
          <w:rStyle w:val="SectionNumber"/>
        </w:rPr>
        <w:t xml:space="preserve">1.4.4</w:t>
      </w:r>
      <w:r>
        <w:tab/>
      </w:r>
      <w:r>
        <w:t xml:space="preserve">Total de quadras e total de área das quadras em eixo na MEM por tipo de Eixo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4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Xd485fb341f2a2a0da4e67859fcf27f64c027e60"/>
    <w:p>
      <w:pPr>
        <w:pStyle w:val="Heading3"/>
      </w:pPr>
      <w:r>
        <w:rPr>
          <w:rStyle w:val="SectionNumber"/>
        </w:rPr>
        <w:t xml:space="preserve">1.4.5</w:t>
      </w:r>
      <w:r>
        <w:tab/>
      </w:r>
      <w:r>
        <w:t xml:space="preserve">Eixos demarcados vs eixos potenciais na MEM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5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End w:id="90"/>
    <w:bookmarkStart w:id="112" w:name="setores-da-mem"/>
    <w:p>
      <w:pPr>
        <w:pStyle w:val="Ttulo2"/>
      </w:pPr>
      <w:r>
        <w:rPr>
          <w:rStyle w:val="SectionNumber"/>
        </w:rPr>
        <w:t xml:space="preserve">1.5</w:t>
      </w:r>
      <w:r>
        <w:tab/>
      </w:r>
      <w:r>
        <w:t xml:space="preserve">Setores da MEM</w:t>
      </w:r>
    </w:p>
    <w:bookmarkStart w:id="91" w:name="Xd8c1adf8f082e04603ff36a8b90f9130306caab"/>
    <w:p>
      <w:pPr>
        <w:pStyle w:val="Heading3"/>
      </w:pPr>
      <w:r>
        <w:rPr>
          <w:rStyle w:val="SectionNumber"/>
        </w:rPr>
        <w:t xml:space="preserve">1.5.1</w:t>
      </w:r>
      <w:r>
        <w:tab/>
      </w:r>
      <w:r>
        <w:t xml:space="preserve">Características da produção imobiliária por setores da MEM</w:t>
      </w:r>
    </w:p>
    <w:bookmarkEnd w:id="91"/>
    <w:bookmarkStart w:id="95" w:name="X3988a4fde2c77f866d91fb9e47f6dd648bcf66c"/>
    <w:p>
      <w:pPr>
        <w:pStyle w:val="Heading3"/>
      </w:pPr>
      <w:r>
        <w:rPr>
          <w:rStyle w:val="SectionNumber"/>
        </w:rPr>
        <w:t xml:space="preserve">1.5.2</w:t>
      </w:r>
      <w:r>
        <w:tab/>
      </w:r>
      <w:r>
        <w:t xml:space="preserve">Setores da MEM por área do terreno e área construída com percentual de unidades ERP - regramento atual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6-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5"/>
    <w:bookmarkStart w:id="99" w:name="X894533b8c388d6427d21021f2fc5f7c7fd29458"/>
    <w:p>
      <w:pPr>
        <w:pStyle w:val="Heading3"/>
      </w:pPr>
      <w:r>
        <w:rPr>
          <w:rStyle w:val="SectionNumber"/>
        </w:rPr>
        <w:t xml:space="preserve">1.5.3</w:t>
      </w:r>
      <w:r>
        <w:tab/>
      </w:r>
      <w:r>
        <w:t xml:space="preserve">Setores da MEM por número de unidades e percentual de unidades ERP - regramento atual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7-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3" w:name="X257786af991b904fa1b1a0f2f3321255df8194f"/>
    <w:p>
      <w:pPr>
        <w:pStyle w:val="Heading3"/>
      </w:pPr>
      <w:r>
        <w:rPr>
          <w:rStyle w:val="SectionNumber"/>
        </w:rPr>
        <w:t xml:space="preserve">1.5.4</w:t>
      </w:r>
      <w:r>
        <w:tab/>
      </w:r>
      <w:r>
        <w:t xml:space="preserve">Setores da MEM por cota-parte e categoria de uso - regramento atual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8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3"/>
    <w:bookmarkStart w:id="107" w:name="Xdfae6dbb861ed98e5fe7f89c17d4051a03cf6de"/>
    <w:p>
      <w:pPr>
        <w:pStyle w:val="Heading3"/>
      </w:pPr>
      <w:r>
        <w:rPr>
          <w:rStyle w:val="SectionNumber"/>
        </w:rPr>
        <w:t xml:space="preserve">1.5.5</w:t>
      </w:r>
      <w:r>
        <w:tab/>
      </w:r>
      <w:r>
        <w:t xml:space="preserve">Total de área de construção vs total de unidades habitacionais por setores da MEM - regramento atual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29-1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7"/>
    <w:bookmarkStart w:id="111" w:name="X603a00da6856fc53ba6578e837dcf56d5bd0738"/>
    <w:p>
      <w:pPr>
        <w:pStyle w:val="Heading3"/>
      </w:pPr>
      <w:r>
        <w:rPr>
          <w:rStyle w:val="SectionNumber"/>
        </w:rPr>
        <w:t xml:space="preserve">1.5.6</w:t>
      </w:r>
      <w:r>
        <w:tab/>
      </w:r>
      <w:r>
        <w:t xml:space="preserve">Setores da MEM por número de unidades e número de pavimentos - regramento atual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30-1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1"/>
    <w:bookmarkEnd w:id="112"/>
    <w:bookmarkStart w:id="121" w:name="acessibilidade"/>
    <w:p>
      <w:pPr>
        <w:pStyle w:val="Ttulo2"/>
      </w:pPr>
      <w:r>
        <w:rPr>
          <w:rStyle w:val="SectionNumber"/>
        </w:rPr>
        <w:t xml:space="preserve">1.6</w:t>
      </w:r>
      <w:r>
        <w:tab/>
      </w:r>
      <w:r>
        <w:t xml:space="preserve">Acessibilidade</w:t>
      </w:r>
    </w:p>
    <w:bookmarkStart w:id="116" w:name="Xc178250882c7767c99a464536ec8f6abf09a4d1"/>
    <w:p>
      <w:pPr>
        <w:pStyle w:val="Heading3"/>
      </w:pPr>
      <w:r>
        <w:rPr>
          <w:rStyle w:val="SectionNumber"/>
        </w:rPr>
        <w:t xml:space="preserve">1.6.1</w:t>
      </w:r>
      <w:r>
        <w:tab/>
      </w:r>
      <w:r>
        <w:t xml:space="preserve">Acessibilidade de empregos na MEM e por setores da MEM - 2019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31-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6"/>
    <w:bookmarkStart w:id="120" w:name="Xbccf288c8edeed47ee82e40db2480af68e0e0c0"/>
    <w:p>
      <w:pPr>
        <w:pStyle w:val="Heading3"/>
      </w:pPr>
      <w:r>
        <w:rPr>
          <w:rStyle w:val="SectionNumber"/>
        </w:rPr>
        <w:t xml:space="preserve">1.6.2</w:t>
      </w:r>
      <w:r>
        <w:tab/>
      </w:r>
      <w:r>
        <w:t xml:space="preserve">Distribuição dos empreendimentos na MEM em função de sua acessibilidade (regramento aplicado)</w:t>
      </w:r>
    </w:p>
    <w:p>
      <w:pPr>
        <w:pStyle w:val="FirstParagraph"/>
      </w:pPr>
      <w:r>
        <w:drawing>
          <wp:inline>
            <wp:extent cx="5753100" cy="4314825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/home/evandro/Área%20de%20Trabalho/PDE/Dados/outputs/NT3_EnquantoOsPIUsNaoSaemDoPapel/nt3_analise_mem_files/figure-docx/unnamed-chunk-32-1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bookmarkEnd w:id="121"/>
    <w:bookmarkEnd w:id="122"/>
    <w:sectPr w:rsidR="001418C5" w:rsidRPr="00BF5B2D" w:rsidSect="001418C5">
      <w:footerReference r:id="rId10" w:type="default"/>
      <w:headerReference r:id="rId9" w:type="first"/>
      <w:footerReference r:id="rId11" w:type="first"/>
      <w:pgSz w:h="16840" w:w="11900"/>
      <w:pgMar w:bottom="1701" w:footer="709" w:gutter="0" w:header="709" w:left="1418" w:right="1412" w:top="1985"/>
      <w:cols w:space="708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A43660" w14:textId="77777777" w:rsidR="001418C5" w:rsidRPr="00BF5B2D" w:rsidRDefault="001418C5" w:rsidP="001418C5">
    <w:pPr>
      <w:pStyle w:val="Rodap"/>
      <w:rPr>
        <w:rFonts w:ascii="Verdana" w:hAnsi="Verdana"/>
        <w:color w:val="000000" w:themeColor="text1"/>
        <w:sz w:val="16"/>
        <w:szCs w:val="16"/>
        <w:lang w:val="pt-BR"/>
      </w:rPr>
    </w:pPr>
    <w:r w:rsidRPr="00BF5B2D">
      <w:rPr>
        <w:rFonts w:ascii="Verdana" w:hAnsi="Verdana"/>
        <w:color w:val="000000" w:themeColor="text1"/>
        <w:sz w:val="16"/>
        <w:szCs w:val="16"/>
        <w:lang w:val="pt-BR"/>
      </w:rPr>
      <w:t>Rua Quatá, 300 – Vila Olímpia 04546-042 São Paulo SP Brasil</w:t>
    </w:r>
  </w:p>
  <w:p w14:paraId="201DFFD6" w14:textId="23709CC1" w:rsidR="007715F2" w:rsidRPr="001418C5" w:rsidRDefault="001418C5" w:rsidP="001418C5">
    <w:pPr>
      <w:pStyle w:val="Rodap"/>
      <w:rPr>
        <w:rFonts w:ascii="Verdana" w:hAnsi="Verdana"/>
        <w:sz w:val="16"/>
        <w:szCs w:val="16"/>
      </w:rPr>
    </w:pPr>
    <w:r w:rsidRPr="007715F2">
      <w:rPr>
        <w:rFonts w:ascii="Verdana" w:hAnsi="Verdana"/>
        <w:sz w:val="16"/>
        <w:szCs w:val="16"/>
      </w:rPr>
      <w:t>55 11 4504</w:t>
    </w:r>
    <w:r>
      <w:rPr>
        <w:rFonts w:ascii="Verdana" w:hAnsi="Verdana"/>
        <w:sz w:val="16"/>
        <w:szCs w:val="16"/>
      </w:rPr>
      <w:t xml:space="preserve">-2400 | </w:t>
    </w:r>
    <w:hyperlink r:id="rId1" w:history="1">
      <w:r w:rsidRPr="00BF5B2D">
        <w:rPr>
          <w:rStyle w:val="Hyperlink"/>
          <w:rFonts w:ascii="Verdana" w:hAnsi="Verdana"/>
          <w:sz w:val="16"/>
          <w:szCs w:val="16"/>
        </w:rPr>
        <w:t>www.insper.edu.br</w:t>
      </w:r>
    </w:hyperlink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E31F01" w14:textId="210EEB55" w:rsidR="001418C5" w:rsidRPr="00BF5B2D" w:rsidRDefault="001418C5" w:rsidP="001418C5">
    <w:pPr>
      <w:pStyle w:val="Rodap"/>
      <w:rPr>
        <w:rFonts w:ascii="Verdana" w:hAnsi="Verdana"/>
        <w:color w:val="000000" w:themeColor="text1"/>
        <w:sz w:val="16"/>
        <w:szCs w:val="16"/>
        <w:lang w:val="pt-BR"/>
      </w:rPr>
    </w:pPr>
    <w:r w:rsidRPr="00BF5B2D">
      <w:rPr>
        <w:rFonts w:ascii="Verdana" w:hAnsi="Verdana"/>
        <w:color w:val="000000" w:themeColor="text1"/>
        <w:sz w:val="16"/>
        <w:szCs w:val="16"/>
        <w:lang w:val="pt-BR"/>
      </w:rPr>
      <w:t>Rua Quatá, 300 – Vila Olímpia 04546-042 São Paulo SP Brasil</w:t>
    </w:r>
  </w:p>
  <w:p w14:paraId="5980573C" w14:textId="63FAD17E" w:rsidR="001418C5" w:rsidRPr="001418C5" w:rsidRDefault="001418C5">
    <w:pPr>
      <w:pStyle w:val="Rodap"/>
      <w:rPr>
        <w:rFonts w:ascii="Verdana" w:hAnsi="Verdana"/>
        <w:sz w:val="16"/>
        <w:szCs w:val="16"/>
      </w:rPr>
    </w:pPr>
    <w:r w:rsidRPr="007715F2">
      <w:rPr>
        <w:rFonts w:ascii="Verdana" w:hAnsi="Verdana"/>
        <w:sz w:val="16"/>
        <w:szCs w:val="16"/>
      </w:rPr>
      <w:t>55 11 4504</w:t>
    </w:r>
    <w:r>
      <w:rPr>
        <w:rFonts w:ascii="Verdana" w:hAnsi="Verdana"/>
        <w:sz w:val="16"/>
        <w:szCs w:val="16"/>
      </w:rPr>
      <w:t xml:space="preserve">-2400 | </w:t>
    </w:r>
    <w:hyperlink r:id="rId1" w:history="1">
      <w:r w:rsidRPr="00BF5B2D">
        <w:rPr>
          <w:rStyle w:val="Hyperlink"/>
          <w:rFonts w:ascii="Verdana" w:hAnsi="Verdana"/>
          <w:sz w:val="16"/>
          <w:szCs w:val="16"/>
        </w:rPr>
        <w:t>www.insper.edu.br</w:t>
      </w:r>
    </w:hyperlink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7192C" w14:textId="77777777" w:rsidR="001418C5" w:rsidRDefault="001418C5" w:rsidP="001418C5">
    <w:pPr>
      <w:pStyle w:val="Cabealho"/>
    </w:pPr>
    <w:r>
      <w:rPr>
        <w:noProof/>
        <w:lang w:val="pt-BR" w:eastAsia="pt-BR"/>
      </w:rPr>
      <w:drawing>
        <wp:anchor distT="0" distB="0" distL="114300" distR="114300" simplePos="0" relativeHeight="251660288" behindDoc="0" locked="0" layoutInCell="1" allowOverlap="1" wp14:anchorId="460DB38E" wp14:editId="1124C9E7">
          <wp:simplePos x="0" y="0"/>
          <wp:positionH relativeFrom="column">
            <wp:posOffset>3888417</wp:posOffset>
          </wp:positionH>
          <wp:positionV relativeFrom="paragraph">
            <wp:posOffset>-442595</wp:posOffset>
          </wp:positionV>
          <wp:extent cx="2071784" cy="1172708"/>
          <wp:effectExtent l="0" t="0" r="0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opo-relatori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71784" cy="117270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pt-BR" w:eastAsia="pt-BR"/>
      </w:rPr>
      <w:drawing>
        <wp:anchor distT="0" distB="0" distL="114300" distR="114300" simplePos="0" relativeHeight="251659264" behindDoc="1" locked="0" layoutInCell="1" allowOverlap="1" wp14:anchorId="339F2045" wp14:editId="7AA5BEC5">
          <wp:simplePos x="0" y="0"/>
          <wp:positionH relativeFrom="column">
            <wp:posOffset>-1020</wp:posOffset>
          </wp:positionH>
          <wp:positionV relativeFrom="paragraph">
            <wp:posOffset>111916</wp:posOffset>
          </wp:positionV>
          <wp:extent cx="816964" cy="286596"/>
          <wp:effectExtent l="0" t="0" r="0" b="5715"/>
          <wp:wrapNone/>
          <wp:docPr id="5" name="Imagem 5" descr="Insper/Logo%20Insper/Insper-pos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per/Logo%20Insper/Insper-pos.gif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497" cy="307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8C799B1" w14:textId="77777777" w:rsidR="001418C5" w:rsidRDefault="001418C5">
    <w:pPr>
      <w:pStyle w:val="Cabealho"/>
    </w:pPr>
  </w:p>
</w:hdr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70"/>
  <w:embedSystemFonts/>
  <w:proofState w:grammar="clean" w:spelling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eastAsia="ja-JP"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/>
  </w:docDefaults>
  <w:latentStyles w:count="375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1418C5"/>
    <w:rPr>
      <w:rFonts w:ascii="Verdana" w:cs="Times New Roman" w:eastAsia="Cambria" w:hAnsi="Verdana"/>
    </w:rPr>
  </w:style>
  <w:style w:styleId="Ttulo1" w:type="paragraph">
    <w:name w:val="heading 1"/>
    <w:basedOn w:val="Normal"/>
    <w:next w:val="Normal"/>
    <w:link w:val="Ttulo1Char"/>
    <w:uiPriority w:val="9"/>
    <w:qFormat/>
    <w:rsid w:val="001418C5"/>
    <w:pPr>
      <w:keepNext/>
      <w:keepLines/>
      <w:spacing w:before="240"/>
      <w:outlineLvl w:val="0"/>
    </w:pPr>
    <w:rPr>
      <w:rFonts w:cstheme="majorBidi" w:eastAsiaTheme="majorEastAsia"/>
      <w:b/>
      <w:color w:themeColor="text1" w:val="000000"/>
      <w:sz w:val="26"/>
      <w:szCs w:val="32"/>
    </w:rPr>
  </w:style>
  <w:style w:styleId="Ttulo2" w:type="paragraph">
    <w:name w:val="heading 2"/>
    <w:basedOn w:val="Normal"/>
    <w:next w:val="Normal"/>
    <w:link w:val="Ttulo2Char"/>
    <w:uiPriority w:val="9"/>
    <w:unhideWhenUsed/>
    <w:qFormat/>
    <w:rsid w:val="00E77979"/>
    <w:pPr>
      <w:keepNext/>
      <w:keepLines/>
      <w:spacing w:after="100" w:afterAutospacing="1" w:before="40"/>
      <w:outlineLvl w:val="1"/>
    </w:pPr>
    <w:rPr>
      <w:rFonts w:cstheme="majorBidi" w:eastAsiaTheme="majorEastAsia"/>
      <w:b/>
      <w:color w:themeColor="text1" w:val="000000"/>
      <w:sz w:val="22"/>
      <w:szCs w:val="26"/>
    </w:rPr>
  </w:style>
  <w:style w:default="1" w:styleId="Fontepargpadro" w:type="character">
    <w:name w:val="Default Paragraph Font"/>
    <w:uiPriority w:val="1"/>
    <w:unhideWhenUsed/>
  </w:style>
  <w:style w:default="1" w:styleId="Tabe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emlista" w:type="numbering">
    <w:name w:val="No List"/>
    <w:uiPriority w:val="99"/>
    <w:semiHidden/>
    <w:unhideWhenUsed/>
  </w:style>
  <w:style w:styleId="Cabealho" w:type="paragraph">
    <w:name w:val="header"/>
    <w:basedOn w:val="Normal"/>
    <w:link w:val="CabealhoChar"/>
    <w:uiPriority w:val="99"/>
    <w:unhideWhenUsed/>
    <w:rsid w:val="001418C5"/>
    <w:pPr>
      <w:tabs>
        <w:tab w:pos="4320" w:val="center"/>
        <w:tab w:pos="8640" w:val="right"/>
      </w:tabs>
    </w:pPr>
    <w:rPr>
      <w:rFonts w:cstheme="minorBidi" w:eastAsiaTheme="minorHAnsi"/>
    </w:rPr>
  </w:style>
  <w:style w:customStyle="1" w:styleId="CabealhoChar" w:type="character">
    <w:name w:val="Cabeçalho Char"/>
    <w:basedOn w:val="Fontepargpadro"/>
    <w:link w:val="Cabealho"/>
    <w:uiPriority w:val="99"/>
    <w:rsid w:val="001418C5"/>
    <w:rPr>
      <w:rFonts w:ascii="Verdana" w:hAnsi="Verdana"/>
    </w:rPr>
  </w:style>
  <w:style w:styleId="Rodap" w:type="paragraph">
    <w:name w:val="footer"/>
    <w:basedOn w:val="Normal"/>
    <w:link w:val="RodapChar"/>
    <w:uiPriority w:val="99"/>
    <w:unhideWhenUsed/>
    <w:rsid w:val="00003E00"/>
    <w:pPr>
      <w:tabs>
        <w:tab w:pos="4320" w:val="center"/>
        <w:tab w:pos="8640" w:val="right"/>
      </w:tabs>
    </w:pPr>
    <w:rPr>
      <w:rFonts w:asciiTheme="minorHAnsi" w:cstheme="minorBidi" w:eastAsiaTheme="minorHAnsi" w:hAnsiTheme="minorHAnsi"/>
    </w:rPr>
  </w:style>
  <w:style w:customStyle="1" w:styleId="RodapChar" w:type="character">
    <w:name w:val="Rodapé Char"/>
    <w:basedOn w:val="Fontepargpadro"/>
    <w:link w:val="Rodap"/>
    <w:uiPriority w:val="99"/>
    <w:rsid w:val="00003E00"/>
  </w:style>
  <w:style w:styleId="Textodebalo" w:type="paragraph">
    <w:name w:val="Balloon Text"/>
    <w:basedOn w:val="Normal"/>
    <w:link w:val="TextodebaloChar"/>
    <w:uiPriority w:val="99"/>
    <w:semiHidden/>
    <w:unhideWhenUsed/>
    <w:rsid w:val="00A334ED"/>
    <w:rPr>
      <w:rFonts w:ascii="Lucida Grande" w:cs="Lucida Grande" w:hAnsi="Lucida Grande"/>
      <w:sz w:val="18"/>
      <w:szCs w:val="18"/>
    </w:rPr>
  </w:style>
  <w:style w:customStyle="1" w:styleId="TextodebaloChar" w:type="character">
    <w:name w:val="Texto de balão Char"/>
    <w:basedOn w:val="Fontepargpadro"/>
    <w:link w:val="Textodebalo"/>
    <w:uiPriority w:val="99"/>
    <w:semiHidden/>
    <w:rsid w:val="00A334ED"/>
    <w:rPr>
      <w:rFonts w:ascii="Lucida Grande" w:cs="Lucida Grande" w:eastAsia="Cambria" w:hAnsi="Lucida Grande"/>
      <w:sz w:val="18"/>
      <w:szCs w:val="18"/>
    </w:rPr>
  </w:style>
  <w:style w:styleId="Hyperlink" w:type="character">
    <w:name w:val="Hyperlink"/>
    <w:basedOn w:val="Fontepargpadro"/>
    <w:uiPriority w:val="99"/>
    <w:unhideWhenUsed/>
    <w:rsid w:val="001418C5"/>
    <w:rPr>
      <w:color w:val="C00026"/>
      <w:u w:val="single"/>
    </w:rPr>
  </w:style>
  <w:style w:styleId="MenoPendente" w:type="character">
    <w:name w:val="Unresolved Mention"/>
    <w:basedOn w:val="Fontepargpadro"/>
    <w:uiPriority w:val="99"/>
    <w:rsid w:val="00BF5B2D"/>
    <w:rPr>
      <w:color w:val="605E5C"/>
      <w:shd w:color="auto" w:fill="E1DFDD" w:val="clear"/>
    </w:rPr>
  </w:style>
  <w:style w:styleId="Ttulo" w:type="paragraph">
    <w:name w:val="Title"/>
    <w:basedOn w:val="Normal"/>
    <w:next w:val="Normal"/>
    <w:link w:val="TtuloChar"/>
    <w:uiPriority w:val="10"/>
    <w:qFormat/>
    <w:rsid w:val="001418C5"/>
    <w:pPr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tuloChar" w:type="character">
    <w:name w:val="Título Char"/>
    <w:basedOn w:val="Fontepargpadro"/>
    <w:link w:val="Ttulo"/>
    <w:uiPriority w:val="10"/>
    <w:rsid w:val="001418C5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tulo1Char" w:type="character">
    <w:name w:val="Título 1 Char"/>
    <w:basedOn w:val="Fontepargpadro"/>
    <w:link w:val="Ttulo1"/>
    <w:uiPriority w:val="9"/>
    <w:rsid w:val="001418C5"/>
    <w:rPr>
      <w:rFonts w:ascii="Verdana" w:cstheme="majorBidi" w:eastAsiaTheme="majorEastAsia" w:hAnsi="Verdana"/>
      <w:b/>
      <w:color w:themeColor="text1" w:val="000000"/>
      <w:sz w:val="26"/>
      <w:szCs w:val="32"/>
    </w:rPr>
  </w:style>
  <w:style w:customStyle="1" w:styleId="Ttulo2Char" w:type="character">
    <w:name w:val="Título 2 Char"/>
    <w:basedOn w:val="Fontepargpadro"/>
    <w:link w:val="Ttulo2"/>
    <w:uiPriority w:val="9"/>
    <w:rsid w:val="00E77979"/>
    <w:rPr>
      <w:rFonts w:ascii="Verdana" w:cstheme="majorBidi" w:eastAsiaTheme="majorEastAsia" w:hAnsi="Verdana"/>
      <w:b/>
      <w:color w:themeColor="text1" w:val="000000"/>
      <w:sz w:val="22"/>
      <w:szCs w:val="26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footer1.xml" Type="http://schemas.openxmlformats.org/officeDocument/2006/relationships/footer" /><Relationship Id="rId11" Target="footer2.xml" Type="http://schemas.openxmlformats.org/officeDocument/2006/relationships/footer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20" Target="media/rId20.png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insper.edu.br/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insper.edu.br/" TargetMode="External"/></Relationships>
</file>

<file path=word/_rels/footnotes.xml.rels><?xml version="1.0" encoding="UTF-8"?><Relationships xmlns="http://schemas.openxmlformats.org/package/2006/relationships" /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475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Nota técnica - dinâmica imobiliária na MEM pós-PDE</dc:title>
  <dc:creator>Por Evandro Luis e Joyce Reis</dc:creator>
  <cp:keywords/>
  <dcterms:created xsi:type="dcterms:W3CDTF">2024-04-27T15:07:36Z</dcterms:created>
  <dcterms:modified xsi:type="dcterms:W3CDTF">2024-04-27T15:07:36Z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Em 27 de abril de 2024</vt:lpwstr>
  </property>
</Properties>
</file>